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5 · Procedure woonkrediet: van aanvraag tot akte</w:t>
      </w:r>
    </w:p>
    <w:p>
      <w:pPr>
        <w:spacing w:after="240"/>
      </w:pPr>
      <w:r>
        <w:rPr>
          <w:i/>
          <w:iCs/>
          <w:color w:val="666666"/>
        </w:rPr>
        <w:t xml:space="preserve">Oefening 5 · Naslagwerk bevragen · Fictief oefendocument, geen officiële Belfius-procedure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c>
          <w:tcPr>
            <w:tcW w:type="dxa" w:w="2400"/>
            <w:tcMar>
              <w:top w:type="dxa" w:w="80"/>
              <w:left w:type="dxa" w:w="120"/>
              <w:bottom w:type="dxa" w:w="80"/>
              <w:right w:type="dxa" w:w="120"/>
            </w:tcMar>
          </w:tcPr>
          <w:p>
            <w:r>
              <w:rPr>
                <w:b/>
                <w:bCs/>
              </w:rPr>
              <w:t xml:space="preserve">Documentcode:</w:t>
            </w:r>
          </w:p>
        </w:tc>
        <w:tc>
          <w:tcPr>
            <w:tcW w:type="dxa" w:w="6626"/>
            <w:tcMar>
              <w:top w:type="dxa" w:w="80"/>
              <w:left w:type="dxa" w:w="120"/>
              <w:bottom w:type="dxa" w:w="80"/>
              <w:right w:type="dxa" w:w="120"/>
            </w:tcMar>
          </w:tcPr>
          <w:p>
            <w:r>
              <w:t xml:space="preserve">PROC-WK-014 (fictief)</w:t>
            </w:r>
          </w:p>
        </w:tc>
      </w:tr>
      <w:tr>
        <w:tc>
          <w:tcPr>
            <w:tcW w:type="dxa" w:w="2400"/>
            <w:tcMar>
              <w:top w:type="dxa" w:w="80"/>
              <w:left w:type="dxa" w:w="120"/>
              <w:bottom w:type="dxa" w:w="80"/>
              <w:right w:type="dxa" w:w="120"/>
            </w:tcMar>
          </w:tcPr>
          <w:p>
            <w:r>
              <w:rPr>
                <w:b/>
                <w:bCs/>
              </w:rPr>
              <w:t xml:space="preserve">Versie:</w:t>
            </w:r>
          </w:p>
        </w:tc>
        <w:tc>
          <w:tcPr>
            <w:tcW w:type="dxa" w:w="6626"/>
            <w:tcMar>
              <w:top w:type="dxa" w:w="80"/>
              <w:left w:type="dxa" w:w="120"/>
              <w:bottom w:type="dxa" w:w="80"/>
              <w:right w:type="dxa" w:w="120"/>
            </w:tcMar>
          </w:tcPr>
          <w:p>
            <w:r>
              <w:t xml:space="preserve">3.2, geldig vanaf 1 september 2026</w:t>
            </w:r>
          </w:p>
        </w:tc>
      </w:tr>
      <w:tr>
        <w:tc>
          <w:tcPr>
            <w:tcW w:type="dxa" w:w="2400"/>
            <w:tcMar>
              <w:top w:type="dxa" w:w="80"/>
              <w:left w:type="dxa" w:w="120"/>
              <w:bottom w:type="dxa" w:w="80"/>
              <w:right w:type="dxa" w:w="120"/>
            </w:tcMar>
          </w:tcPr>
          <w:p>
            <w:r>
              <w:rPr>
                <w:b/>
                <w:bCs/>
              </w:rPr>
              <w:t xml:space="preserve">Doelgroep:</w:t>
            </w:r>
          </w:p>
        </w:tc>
        <w:tc>
          <w:tcPr>
            <w:tcW w:type="dxa" w:w="6626"/>
            <w:tcMar>
              <w:top w:type="dxa" w:w="80"/>
              <w:left w:type="dxa" w:w="120"/>
              <w:bottom w:type="dxa" w:w="80"/>
              <w:right w:type="dxa" w:w="120"/>
            </w:tcMar>
          </w:tcPr>
          <w:p>
            <w:r>
              <w:t xml:space="preserve">Klantenadviseurs en kredietspecialisten in de kantoren</w:t>
            </w:r>
          </w:p>
        </w:tc>
      </w:tr>
      <w:tr>
        <w:tc>
          <w:tcPr>
            <w:tcW w:type="dxa" w:w="2400"/>
            <w:tcMar>
              <w:top w:type="dxa" w:w="80"/>
              <w:left w:type="dxa" w:w="120"/>
              <w:bottom w:type="dxa" w:w="80"/>
              <w:right w:type="dxa" w:w="120"/>
            </w:tcMar>
          </w:tcPr>
          <w:p>
            <w:r>
              <w:rPr>
                <w:b/>
                <w:bCs/>
              </w:rPr>
              <w:t xml:space="preserve">Eigenaar:</w:t>
            </w:r>
          </w:p>
        </w:tc>
        <w:tc>
          <w:tcPr>
            <w:tcW w:type="dxa" w:w="6626"/>
            <w:tcMar>
              <w:top w:type="dxa" w:w="80"/>
              <w:left w:type="dxa" w:w="120"/>
              <w:bottom w:type="dxa" w:w="80"/>
              <w:right w:type="dxa" w:w="120"/>
            </w:tcMar>
          </w:tcPr>
          <w:p>
            <w:r>
              <w:t xml:space="preserve">Team Woonkrediet Retail</w:t>
            </w:r>
          </w:p>
        </w:tc>
      </w:tr>
    </w:tbl>
    <w:p/>
    <w:p>
      <w:pPr>
        <w:pStyle w:val="Heading1"/>
      </w:pPr>
      <w:r>
        <w:t xml:space="preserve">1. Doel en toepassingsgebied</w:t>
      </w:r>
    </w:p>
    <w:p>
      <w:pPr>
        <w:spacing w:after="120"/>
      </w:pPr>
      <w:r>
        <w:t xml:space="preserve">Deze procedure beschrijft hoe een aanvraag voor een hypothecair woonkrediet verloopt, vanaf het eerste gesprek met de klant tot het verlijden van de akte bij de notaris. Ze geldt voor de aankoop, bouw en renovatie van een woning die de klant zelf zal bewonen. Kredieten voor opbrengsteigendommen, professionele vastgoedprojecten en herfinancieringen vallen buiten deze procedure en volgen de procedure PROC-WK-021.</w:t>
      </w:r>
    </w:p>
    <w:p>
      <w:pPr>
        <w:spacing w:after="120"/>
      </w:pPr>
      <w:r>
        <w:t xml:space="preserve">Het doel is drieledig: de klant krijgt een voorspelbaar traject met duidelijke termijnen, het kantoor levert volledige dossiers aan zodat de kredietafdeling vlot kan beslissen, en de bank blijft binnen haar informatieplicht en haar interne regels.</w:t>
      </w:r>
    </w:p>
    <w:p>
      <w:pPr>
        <w:pStyle w:val="Heading1"/>
      </w:pPr>
      <w:r>
        <w:t xml:space="preserve">2. Rollen en verantwoordelijkheden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shd w:fill="F2E3E5" w:color="auto" w:val="clear"/>
            <w:tcMar>
              <w:top w:type="dxa" w:w="80"/>
              <w:left w:type="dxa" w:w="120"/>
              <w:bottom w:type="dxa" w:w="80"/>
              <w:right w:type="dxa" w:w="120"/>
            </w:tcMar>
          </w:tcPr>
          <w:p>
            <w:r>
              <w:rPr>
                <w:b/>
                <w:bCs/>
              </w:rPr>
              <w:t xml:space="preserve">Rol</w:t>
            </w:r>
          </w:p>
        </w:tc>
        <w:tc>
          <w:tcPr>
            <w:tcW w:type="dxa" w:w="6426"/>
            <w:shd w:fill="F2E3E5" w:color="auto" w:val="clear"/>
            <w:tcMar>
              <w:top w:type="dxa" w:w="80"/>
              <w:left w:type="dxa" w:w="120"/>
              <w:bottom w:type="dxa" w:w="80"/>
              <w:right w:type="dxa" w:w="120"/>
            </w:tcMar>
          </w:tcPr>
          <w:p>
            <w:r>
              <w:rPr>
                <w:b/>
                <w:bCs/>
              </w:rPr>
              <w:t xml:space="preserve">Verantwoordelijkheid</w:t>
            </w:r>
          </w:p>
        </w:tc>
      </w:tr>
      <w:tr>
        <w:tc>
          <w:tcPr>
            <w:tcW w:type="dxa" w:w="2600"/>
            <w:tcMar>
              <w:top w:type="dxa" w:w="80"/>
              <w:left w:type="dxa" w:w="120"/>
              <w:bottom w:type="dxa" w:w="80"/>
              <w:right w:type="dxa" w:w="120"/>
            </w:tcMar>
          </w:tcPr>
          <w:p>
            <w:r>
              <w:t xml:space="preserve">Klantenadviseur</w:t>
            </w:r>
          </w:p>
        </w:tc>
        <w:tc>
          <w:tcPr>
            <w:tcW w:type="dxa" w:w="6426"/>
            <w:tcMar>
              <w:top w:type="dxa" w:w="80"/>
              <w:left w:type="dxa" w:w="120"/>
              <w:bottom w:type="dxa" w:w="80"/>
              <w:right w:type="dxa" w:w="120"/>
            </w:tcMar>
          </w:tcPr>
          <w:p>
            <w:r>
              <w:t xml:space="preserve">Eerste aanspreekpunt. Voert het oriënterend gesprek, verzamelt documenten, bewaakt de termijnen en houdt de klant op de hoogte.</w:t>
            </w:r>
          </w:p>
        </w:tc>
      </w:tr>
      <w:tr>
        <w:tc>
          <w:tcPr>
            <w:tcW w:type="dxa" w:w="2600"/>
            <w:tcMar>
              <w:top w:type="dxa" w:w="80"/>
              <w:left w:type="dxa" w:w="120"/>
              <w:bottom w:type="dxa" w:w="80"/>
              <w:right w:type="dxa" w:w="120"/>
            </w:tcMar>
          </w:tcPr>
          <w:p>
            <w:r>
              <w:t xml:space="preserve">Kredietspecialist</w:t>
            </w:r>
          </w:p>
        </w:tc>
        <w:tc>
          <w:tcPr>
            <w:tcW w:type="dxa" w:w="6426"/>
            <w:tcMar>
              <w:top w:type="dxa" w:w="80"/>
              <w:left w:type="dxa" w:w="120"/>
              <w:bottom w:type="dxa" w:w="80"/>
              <w:right w:type="dxa" w:w="120"/>
            </w:tcMar>
          </w:tcPr>
          <w:p>
            <w:r>
              <w:t xml:space="preserve">Werkt het voorstel op maat uit, maakt simulaties, bespreekt de formules met de klant en registreert de aanvraag.</w:t>
            </w:r>
          </w:p>
        </w:tc>
      </w:tr>
      <w:tr>
        <w:tc>
          <w:tcPr>
            <w:tcW w:type="dxa" w:w="2600"/>
            <w:tcMar>
              <w:top w:type="dxa" w:w="80"/>
              <w:left w:type="dxa" w:w="120"/>
              <w:bottom w:type="dxa" w:w="80"/>
              <w:right w:type="dxa" w:w="120"/>
            </w:tcMar>
          </w:tcPr>
          <w:p>
            <w:r>
              <w:t xml:space="preserve">Kredietafdeling</w:t>
            </w:r>
          </w:p>
        </w:tc>
        <w:tc>
          <w:tcPr>
            <w:tcW w:type="dxa" w:w="6426"/>
            <w:tcMar>
              <w:top w:type="dxa" w:w="80"/>
              <w:left w:type="dxa" w:w="120"/>
              <w:bottom w:type="dxa" w:w="80"/>
              <w:right w:type="dxa" w:w="120"/>
            </w:tcMar>
          </w:tcPr>
          <w:p>
            <w:r>
              <w:t xml:space="preserve">Analyseert het volledige dossier en neemt de kredietbeslissing. Stelt het kredietaanbod op.</w:t>
            </w:r>
          </w:p>
        </w:tc>
      </w:tr>
      <w:tr>
        <w:tc>
          <w:tcPr>
            <w:tcW w:type="dxa" w:w="2600"/>
            <w:tcMar>
              <w:top w:type="dxa" w:w="80"/>
              <w:left w:type="dxa" w:w="120"/>
              <w:bottom w:type="dxa" w:w="80"/>
              <w:right w:type="dxa" w:w="120"/>
            </w:tcMar>
          </w:tcPr>
          <w:p>
            <w:r>
              <w:t xml:space="preserve">Kantoordirecteur</w:t>
            </w:r>
          </w:p>
        </w:tc>
        <w:tc>
          <w:tcPr>
            <w:tcW w:type="dxa" w:w="6426"/>
            <w:tcMar>
              <w:top w:type="dxa" w:w="80"/>
              <w:left w:type="dxa" w:w="120"/>
              <w:bottom w:type="dxa" w:w="80"/>
              <w:right w:type="dxa" w:w="120"/>
            </w:tcMar>
          </w:tcPr>
          <w:p>
            <w:r>
              <w:t xml:space="preserve">Aanspreekpunt bij escalaties en dossiers met een dringende deadline.</w:t>
            </w:r>
          </w:p>
        </w:tc>
      </w:tr>
      <w:tr>
        <w:tc>
          <w:tcPr>
            <w:tcW w:type="dxa" w:w="2600"/>
            <w:tcMar>
              <w:top w:type="dxa" w:w="80"/>
              <w:left w:type="dxa" w:w="120"/>
              <w:bottom w:type="dxa" w:w="80"/>
              <w:right w:type="dxa" w:w="120"/>
            </w:tcMar>
          </w:tcPr>
          <w:p>
            <w:r>
              <w:t xml:space="preserve">Notaris</w:t>
            </w:r>
          </w:p>
        </w:tc>
        <w:tc>
          <w:tcPr>
            <w:tcW w:type="dxa" w:w="6426"/>
            <w:tcMar>
              <w:top w:type="dxa" w:w="80"/>
              <w:left w:type="dxa" w:w="120"/>
              <w:bottom w:type="dxa" w:w="80"/>
              <w:right w:type="dxa" w:w="120"/>
            </w:tcMar>
          </w:tcPr>
          <w:p>
            <w:r>
              <w:t xml:space="preserve">Externe partij. Bereidt de akte voor en verlijdt ze. De bank communiceert met de notaris over de kredietakte.</w:t>
            </w:r>
          </w:p>
        </w:tc>
      </w:tr>
    </w:tbl>
    <w:p/>
    <w:p>
      <w:pPr>
        <w:spacing w:after="120"/>
      </w:pPr>
      <w:r>
        <w:t xml:space="preserve">De klantenadviseur blijft gedurende het hele traject het vaste aanspreekpunt, ook wanneer een kredietspecialist of de kredietafdeling het dossier behandelt. De klant hoeft nooit zelf de kredietafdeling te contacteren.</w:t>
      </w:r>
    </w:p>
    <w:p>
      <w:pPr>
        <w:pStyle w:val="Heading1"/>
      </w:pPr>
      <w:r>
        <w:t xml:space="preserve">3. Stap 1: Oriënterend gesprek en simulatie</w:t>
      </w:r>
    </w:p>
    <w:p>
      <w:pPr>
        <w:spacing w:after="120"/>
      </w:pPr>
      <w:r>
        <w:t xml:space="preserve">In het eerste gesprek brengt de adviseur de situatie en de wensen van de klant in kaart. Het gesprek heeft drie doelen: de haalbaarheid van het project inschatten, de klant informeren over de mogelijke formules en afspreken welke documenten nodig zijn.</w:t>
      </w:r>
    </w:p>
    <w:p>
      <w:pPr>
        <w:pStyle w:val="Heading2"/>
      </w:pPr>
      <w:r>
        <w:t xml:space="preserve">3.1 Te bespreken punten</w:t>
      </w:r>
    </w:p>
    <w:p>
      <w:pPr>
        <w:pStyle w:val="ListParagraph"/>
        <w:numPr>
          <w:ilvl w:val="0"/>
          <w:numId w:val="2"/>
        </w:numPr>
      </w:pPr>
      <w:r>
        <w:t xml:space="preserve">Het project: aankoop, bouw of renovatie, aankoopprijs en geplande werken</w:t>
      </w:r>
    </w:p>
    <w:p>
      <w:pPr>
        <w:pStyle w:val="ListParagraph"/>
        <w:numPr>
          <w:ilvl w:val="0"/>
          <w:numId w:val="2"/>
        </w:numPr>
      </w:pPr>
      <w:r>
        <w:t xml:space="preserve">De financiële situatie: inkomsten, vaste lasten, lopende kredieten en eigen middelen</w:t>
      </w:r>
    </w:p>
    <w:p>
      <w:pPr>
        <w:pStyle w:val="ListParagraph"/>
        <w:numPr>
          <w:ilvl w:val="0"/>
          <w:numId w:val="2"/>
        </w:numPr>
      </w:pPr>
      <w:r>
        <w:t xml:space="preserve">De toekomstplannen die de terugbetaling kunnen beïnvloeden, zoals gezinsuitbreiding, deeltijds werk of een loopbaanonderbreking</w:t>
      </w:r>
    </w:p>
    <w:p>
      <w:pPr>
        <w:pStyle w:val="ListParagraph"/>
        <w:numPr>
          <w:ilvl w:val="0"/>
          <w:numId w:val="2"/>
        </w:numPr>
      </w:pPr>
      <w:r>
        <w:t xml:space="preserve">De voorkeur van de klant voor zekerheid of flexibiliteit in de maandlast</w:t>
      </w:r>
    </w:p>
    <w:p>
      <w:pPr>
        <w:pStyle w:val="Heading2"/>
      </w:pPr>
      <w:r>
        <w:t xml:space="preserve">3.2 Simulatie</w:t>
      </w:r>
    </w:p>
    <w:p>
      <w:pPr>
        <w:spacing w:after="120"/>
      </w:pPr>
      <w:r>
        <w:t xml:space="preserve">De kredietspecialist maakt een simulatie in de officiële simulatietool. Simulaties zijn indicatief en binden de bank niet. Geef een klant nooit een rentevoet mondeling of per mail zonder dat die uit de simulatietool of de geldende tariefkaart komt, en vermeld altijd dat de rentevoet pas vastligt in het kredietaanbod.</w:t>
      </w:r>
    </w:p>
    <w:p>
      <w:pPr>
        <w:pStyle w:val="Heading1"/>
      </w:pPr>
      <w:r>
        <w:t xml:space="preserve">4. Stap 2: Aanvraag en volledig dossier</w:t>
      </w:r>
    </w:p>
    <w:p>
      <w:pPr>
        <w:spacing w:after="120"/>
      </w:pPr>
      <w:r>
        <w:t xml:space="preserve">Een aanvraag wordt pas naar de kredietafdeling doorgestuurd wanneer het dossier volledig is. Een onvolledig dossier doorsturen vertraagt de behandeling, omdat de kredietafdeling het dan terugstuurt naar het kantoor.</w:t>
      </w:r>
    </w:p>
    <w:p>
      <w:pPr>
        <w:pStyle w:val="Heading2"/>
      </w:pPr>
      <w:r>
        <w:t xml:space="preserve">4.1 Verplichte documenten</w:t>
      </w:r>
    </w:p>
    <w:p>
      <w:pPr>
        <w:pStyle w:val="ListParagraph"/>
        <w:numPr>
          <w:ilvl w:val="0"/>
          <w:numId w:val="2"/>
        </w:numPr>
      </w:pPr>
      <w:r>
        <w:t xml:space="preserve">Een geldig identiteitsbewijs van elke kredietnemer</w:t>
      </w:r>
    </w:p>
    <w:p>
      <w:pPr>
        <w:pStyle w:val="ListParagraph"/>
        <w:numPr>
          <w:ilvl w:val="0"/>
          <w:numId w:val="2"/>
        </w:numPr>
      </w:pPr>
      <w:r>
        <w:t xml:space="preserve">Loontrekkenden: de laatste twee loonfiches, als het loon niet op een rekening bij de bank wordt gestort</w:t>
      </w:r>
    </w:p>
    <w:p>
      <w:pPr>
        <w:pStyle w:val="ListParagraph"/>
        <w:numPr>
          <w:ilvl w:val="0"/>
          <w:numId w:val="2"/>
        </w:numPr>
      </w:pPr>
      <w:r>
        <w:t xml:space="preserve">Zelfstandigen: het laatste aanslagbiljet en de laatste belastingaangifte</w:t>
      </w:r>
    </w:p>
    <w:p>
      <w:pPr>
        <w:pStyle w:val="ListParagraph"/>
        <w:numPr>
          <w:ilvl w:val="0"/>
          <w:numId w:val="2"/>
        </w:numPr>
      </w:pPr>
      <w:r>
        <w:t xml:space="preserve">De ondertekende verkoopovereenkomst (compromis), of bij bouw de bouwovereenkomst en de plannen</w:t>
      </w:r>
    </w:p>
    <w:p>
      <w:pPr>
        <w:pStyle w:val="ListParagraph"/>
        <w:numPr>
          <w:ilvl w:val="0"/>
          <w:numId w:val="2"/>
        </w:numPr>
      </w:pPr>
      <w:r>
        <w:t xml:space="preserve">Bij renovatie: offertes of bestekken van de geplande werken</w:t>
      </w:r>
    </w:p>
    <w:p>
      <w:pPr>
        <w:pStyle w:val="ListParagraph"/>
        <w:numPr>
          <w:ilvl w:val="0"/>
          <w:numId w:val="2"/>
        </w:numPr>
      </w:pPr>
      <w:r>
        <w:t xml:space="preserve">Het EPC-certificaat van de woning</w:t>
      </w:r>
    </w:p>
    <w:p>
      <w:pPr>
        <w:pStyle w:val="ListParagraph"/>
        <w:numPr>
          <w:ilvl w:val="0"/>
          <w:numId w:val="2"/>
        </w:numPr>
      </w:pPr>
      <w:r>
        <w:t xml:space="preserve">Een overzicht van lopende kredieten, indien van toepassing</w:t>
      </w:r>
    </w:p>
    <w:p>
      <w:pPr>
        <w:pStyle w:val="Heading2"/>
      </w:pPr>
      <w:r>
        <w:t xml:space="preserve">4.2 Registratie</w:t>
      </w:r>
    </w:p>
    <w:p>
      <w:pPr>
        <w:spacing w:after="120"/>
      </w:pPr>
      <w:r>
        <w:t xml:space="preserve">De kredietspecialist registreert de aanvraag in het kredietsysteem binnen 2 werkdagen nadat het dossier volledig is. Ontbreken er documenten, dan krijgt het dossier de status "In afwachting van documenten". De klantenadviseur vraagt de ontbrekende stukken schriftelijk op bij de klant, met een concrete datum.</w:t>
      </w:r>
    </w:p>
    <w:p>
      <w:pPr>
        <w:pBdr>
          <w:left w:val="single" w:color="A6192E" w:sz="18" w:space="8"/>
        </w:pBdr>
        <w:spacing w:after="120" w:before="120"/>
        <w:ind w:left="200"/>
      </w:pPr>
      <w:r>
        <w:rPr>
          <w:color w:val="444444"/>
        </w:rPr>
        <w:t xml:space="preserve">Een dossier met de status "In afwachting van documenten" staat nog niet in de wachtrij van de kredietafdeling. De behandeltermijn uit stap 3 begint pas te lopen wanneer het dossier volledig is.</w:t>
      </w:r>
    </w:p>
    <w:p>
      <w:pPr>
        <w:pStyle w:val="Heading1"/>
      </w:pPr>
      <w:r>
        <w:t xml:space="preserve">5. Stap 3: Analyse en kredietbeslissing</w:t>
      </w:r>
    </w:p>
    <w:p>
      <w:pPr>
        <w:spacing w:after="120"/>
      </w:pPr>
      <w:r>
        <w:t xml:space="preserve">De kredietafdeling analyseert de terugbetalingscapaciteit, de waarde van het onderpand en het risicoprofiel van de klant. Waar nodig laat ze een schatting van de woning uitvoeren door een erkende schatter.</w:t>
      </w:r>
    </w:p>
    <w:p>
      <w:pPr>
        <w:spacing w:after="120"/>
      </w:pPr>
      <w:r>
        <w:rPr>
          <w:b/>
          <w:bCs/>
        </w:rPr>
        <w:t xml:space="preserve">Termijn:</w:t>
      </w:r>
      <w:r>
        <w:t xml:space="preserve"> de kredietafdeling neemt een beslissing binnen </w:t>
      </w:r>
      <w:r>
        <w:rPr>
          <w:b/>
          <w:bCs/>
        </w:rPr>
        <w:t xml:space="preserve">5 werkdagen</w:t>
      </w:r>
      <w:r>
        <w:t xml:space="preserve"> nadat het volledige dossier geregistreerd is. Is een schatting nodig, dan kan die termijn met maximaal 5 werkdagen verlengd worden.</w:t>
      </w:r>
    </w:p>
    <w:p>
      <w:pPr>
        <w:spacing w:after="120"/>
      </w:pPr>
      <w:r>
        <w:t xml:space="preserve">Mogelijke beslissingen zijn: goedkeuring, goedkeuring onder voorwaarden (bijvoorbeeld een hogere eigen inbreng of een bijkomende waarborg) of weigering. De klantenadviseur brengt de klant op de hoogte binnen 1 werkdag na de beslissing. Een weigering wordt altijd in een gesprek of telefonisch toegelicht, nooit alleen per mail.</w:t>
      </w:r>
    </w:p>
    <w:p>
      <w:pPr>
        <w:pStyle w:val="Heading1"/>
      </w:pPr>
      <w:r>
        <w:t xml:space="preserve">6. Stap 4: Kredietaanbod</w:t>
      </w:r>
    </w:p>
    <w:p>
      <w:pPr>
        <w:spacing w:after="120"/>
      </w:pPr>
      <w:r>
        <w:t xml:space="preserve">Na een positieve beslissing stelt de kredietafdeling het kredietaanbod op. Het aanbod bevat de definitieve rentevoet, de looptijd, het maandelijks aflossingsbedrag en alle voorwaarden. Samen met het aanbod ontvangt de klant het Europees gestandaardiseerd informatieblad (ESIS).</w:t>
      </w:r>
    </w:p>
    <w:p>
      <w:pPr>
        <w:spacing w:after="120"/>
      </w:pPr>
      <w:r>
        <w:rPr>
          <w:b/>
          <w:bCs/>
        </w:rPr>
        <w:t xml:space="preserve">Geldigheid:</w:t>
      </w:r>
      <w:r>
        <w:t xml:space="preserve"> het kredietaanbod blijft </w:t>
      </w:r>
      <w:r>
        <w:rPr>
          <w:b/>
          <w:bCs/>
        </w:rPr>
        <w:t xml:space="preserve">30 kalenderdagen</w:t>
      </w:r>
      <w:r>
        <w:t xml:space="preserve"> geldig vanaf de datum van verzending. De rentevoet in het aanbod ligt vast gedurende die periode. Ondertekent de klant niet binnen die termijn, dan vervalt het aanbod en moet een nieuw aanbod worden aangevraagd tegen de dan geldende voorwaarden.</w:t>
      </w:r>
    </w:p>
    <w:p>
      <w:pPr>
        <w:spacing w:after="120"/>
      </w:pPr>
      <w:r>
        <w:t xml:space="preserve">De klantenadviseur plant een afspraak om het aanbod samen met de klant te overlopen voordat die ondertekent. Het ondertekende aanbod wordt in het dossier opgeladen en de kredietafdeling bezorgt de gegevens aan de notaris.</w:t>
      </w:r>
    </w:p>
    <w:p>
      <w:pPr>
        <w:pStyle w:val="Heading1"/>
      </w:pPr>
      <w:r>
        <w:t xml:space="preserve">7. Stap 5: Opschortende voorwaarde en dringende deadlines</w:t>
      </w:r>
    </w:p>
    <w:p>
      <w:pPr>
        <w:spacing w:after="120"/>
      </w:pPr>
      <w:r>
        <w:t xml:space="preserve">Veel klanten tekenen een compromis met een opschortende voorwaarde voor het verkrijgen van de financiering. Verloopt die termijn zonder kredietbeslissing, dan kan de klant in een moeilijke positie terechtkomen tegenover de verkoper.</w:t>
      </w:r>
    </w:p>
    <w:p>
      <w:pPr>
        <w:pStyle w:val="Heading2"/>
      </w:pPr>
      <w:r>
        <w:t xml:space="preserve">7.1 Wat doe je als de opschortende voorwaarde dreigt te verlopen?</w:t>
      </w:r>
    </w:p>
    <w:p>
      <w:pPr>
        <w:pStyle w:val="ListParagraph"/>
        <w:numPr>
          <w:ilvl w:val="0"/>
          <w:numId w:val="3"/>
        </w:numPr>
      </w:pPr>
      <w:r>
        <w:t xml:space="preserve">Noteer de vervaldatum van de opschortende voorwaarde bij de start van het dossier in het kredietsysteem.</w:t>
      </w:r>
    </w:p>
    <w:p>
      <w:pPr>
        <w:pStyle w:val="ListParagraph"/>
        <w:numPr>
          <w:ilvl w:val="0"/>
          <w:numId w:val="3"/>
        </w:numPr>
      </w:pPr>
      <w:r>
        <w:t xml:space="preserve">Blijven er minder dan </w:t>
      </w:r>
      <w:r>
        <w:rPr>
          <w:b/>
          <w:bCs/>
        </w:rPr>
        <w:t xml:space="preserve">10 werkdagen</w:t>
      </w:r>
      <w:r>
        <w:t xml:space="preserve"> over tot de vervaldatum en is er nog geen beslissing, zet dan de vlag "Prioritair" op het dossier en verwittig de kredietspecialist.</w:t>
      </w:r>
    </w:p>
    <w:p>
      <w:pPr>
        <w:pStyle w:val="ListParagraph"/>
        <w:numPr>
          <w:ilvl w:val="0"/>
          <w:numId w:val="3"/>
        </w:numPr>
      </w:pPr>
      <w:r>
        <w:t xml:space="preserve">Is het dossier nog onvolledig, contacteer de klant dan dezelfde dag telefonisch om de ontbrekende documenten op te vragen.</w:t>
      </w:r>
    </w:p>
    <w:p>
      <w:pPr>
        <w:pStyle w:val="ListParagraph"/>
        <w:numPr>
          <w:ilvl w:val="0"/>
          <w:numId w:val="3"/>
        </w:numPr>
      </w:pPr>
      <w:r>
        <w:t xml:space="preserve">Raad de klant aan om via de notaris of het immokantoor tijdig een verlenging van de opschortende voorwaarde te vragen aan de verkoper. De bank vraagt die verlenging niet zelf aan.</w:t>
      </w:r>
    </w:p>
    <w:p>
      <w:pPr>
        <w:pStyle w:val="ListParagraph"/>
        <w:numPr>
          <w:ilvl w:val="0"/>
          <w:numId w:val="3"/>
        </w:numPr>
      </w:pPr>
      <w:r>
        <w:t xml:space="preserve">Blijft de situatie kritiek, escaleer dan naar de kantoordirecteur.</w:t>
      </w:r>
    </w:p>
    <w:p>
      <w:pPr>
        <w:pBdr>
          <w:left w:val="single" w:color="A6192E" w:sz="18" w:space="8"/>
        </w:pBdr>
        <w:spacing w:after="120" w:before="120"/>
        <w:ind w:left="200"/>
      </w:pPr>
      <w:r>
        <w:rPr>
          <w:color w:val="444444"/>
        </w:rPr>
        <w:t xml:space="preserve">Bezorg een klant nooit een schriftelijke of mondelinge bevestiging dat het krediet "zeker in orde komt" zolang de kredietafdeling geen beslissing heeft genomen. Ook niet om de verkoper of het immokantoor gerust te stellen.</w:t>
      </w:r>
    </w:p>
    <w:p>
      <w:pPr>
        <w:pStyle w:val="Heading1"/>
      </w:pPr>
      <w:r>
        <w:t xml:space="preserve">8. Stap 6: Verzekeringen</w:t>
      </w:r>
    </w:p>
    <w:p>
      <w:pPr>
        <w:spacing w:after="120"/>
      </w:pPr>
      <w:r>
        <w:t xml:space="preserve">De adviseur informeert de klant over de verzekeringen die bij een woonkrediet horen:</w:t>
      </w:r>
    </w:p>
    <w:p>
      <w:pPr>
        <w:pStyle w:val="ListParagraph"/>
        <w:numPr>
          <w:ilvl w:val="0"/>
          <w:numId w:val="2"/>
        </w:numPr>
      </w:pPr>
      <w:r>
        <w:rPr>
          <w:b/>
          <w:bCs/>
        </w:rPr>
        <w:t xml:space="preserve">Woningverzekering (brandverzekering):</w:t>
      </w:r>
      <w:r>
        <w:t xml:space="preserve"> verplicht vanaf het verlijden van de akte. De klant kiest vrij bij welke verzekeraar.</w:t>
      </w:r>
    </w:p>
    <w:p>
      <w:pPr>
        <w:pStyle w:val="ListParagraph"/>
        <w:numPr>
          <w:ilvl w:val="0"/>
          <w:numId w:val="2"/>
        </w:numPr>
      </w:pPr>
      <w:r>
        <w:rPr>
          <w:b/>
          <w:bCs/>
        </w:rPr>
        <w:t xml:space="preserve">Schuldsaldoverzekering:</w:t>
      </w:r>
      <w:r>
        <w:t xml:space="preserve"> beschermt de kredietnemers bij overlijden. Bespreek de verdeling van de dekking tussen de partners, bijvoorbeeld 50/50 of 100/100, en leg de gevolgen van elke keuze uit.</w:t>
      </w:r>
    </w:p>
    <w:p>
      <w:pPr>
        <w:spacing w:after="120"/>
      </w:pPr>
      <w:r>
        <w:t xml:space="preserve">Noteer in het dossier welke verzekeringen besproken zijn en welke keuze de klant maakte. Een attest van de woningverzekering moet uiterlijk op de dag van de akte in het dossier zitten.</w:t>
      </w:r>
    </w:p>
    <w:p>
      <w:pPr>
        <w:pStyle w:val="Heading1"/>
      </w:pPr>
      <w:r>
        <w:t xml:space="preserve">9. Stap 7: Akte en opname van het krediet</w:t>
      </w:r>
    </w:p>
    <w:p>
      <w:pPr>
        <w:spacing w:after="120"/>
      </w:pPr>
      <w:r>
        <w:t xml:space="preserve">De notaris plant de akte in overleg met koper, verkoper en bank. De kredietafdeling bezorgt de notaris minstens 5 werkdagen vóór de akte alle nodige gegevens. De klantenadviseur controleert een week voor de akte of alle documenten in het dossier zitten, waaronder het attest van de woningverzekering.</w:t>
      </w:r>
    </w:p>
    <w:p>
      <w:pPr>
        <w:spacing w:after="120"/>
      </w:pPr>
      <w:r>
        <w:t xml:space="preserve">Bij aankoop wordt het krediet op de dag van de akte opgenomen. Bij renovatie of bouw gebeurt de opname gespreid op basis van facturen, binnen de opnameperiode die in het kredietaanbod staat.</w:t>
      </w:r>
    </w:p>
    <w:p>
      <w:pPr>
        <w:pStyle w:val="Heading1"/>
      </w:pPr>
      <w:r>
        <w:t xml:space="preserve">10. Communicatie met de klant</w:t>
      </w:r>
    </w:p>
    <w:p>
      <w:pPr>
        <w:pStyle w:val="ListParagraph"/>
        <w:numPr>
          <w:ilvl w:val="0"/>
          <w:numId w:val="2"/>
        </w:numPr>
      </w:pPr>
      <w:r>
        <w:t xml:space="preserve">Beantwoord een vraag van een klant binnen 1 werkdag, ook als je nog geen definitief antwoord hebt. Zeg dan wanneer de klant wel een antwoord mag verwachten.</w:t>
      </w:r>
    </w:p>
    <w:p>
      <w:pPr>
        <w:pStyle w:val="ListParagraph"/>
        <w:numPr>
          <w:ilvl w:val="0"/>
          <w:numId w:val="2"/>
        </w:numPr>
      </w:pPr>
      <w:r>
        <w:t xml:space="preserve">Geef de klant bij de start van het dossier een realistisch tijdspad. Communiceer dat de kredietafdeling een beslissing neemt binnen 7 werkdagen na een volledig dossier.</w:t>
      </w:r>
    </w:p>
    <w:p>
      <w:pPr>
        <w:pStyle w:val="ListParagraph"/>
        <w:numPr>
          <w:ilvl w:val="0"/>
          <w:numId w:val="2"/>
        </w:numPr>
      </w:pPr>
      <w:r>
        <w:t xml:space="preserve">Stuur de klant een statusupdate wanneer het dossier van status verandert.</w:t>
      </w:r>
    </w:p>
    <w:p>
      <w:pPr>
        <w:pStyle w:val="ListParagraph"/>
        <w:numPr>
          <w:ilvl w:val="0"/>
          <w:numId w:val="2"/>
        </w:numPr>
      </w:pPr>
      <w:r>
        <w:t xml:space="preserve">Vermeld persoonsgegevens zoals een rijksregisternummer of rekeningnummer nooit in een mail aan de klant.</w:t>
      </w:r>
    </w:p>
    <w:p>
      <w:pPr>
        <w:pStyle w:val="Heading1"/>
      </w:pPr>
      <w:r>
        <w:t xml:space="preserve">11. Veelgemaakte fouten</w:t>
      </w:r>
    </w:p>
    <w:p>
      <w:pPr>
        <w:pStyle w:val="ListParagraph"/>
        <w:numPr>
          <w:ilvl w:val="0"/>
          <w:numId w:val="2"/>
        </w:numPr>
      </w:pPr>
      <w:r>
        <w:t xml:space="preserve">Een onvolledig dossier doorsturen "om al tijd te winnen"</w:t>
      </w:r>
    </w:p>
    <w:p>
      <w:pPr>
        <w:pStyle w:val="ListParagraph"/>
        <w:numPr>
          <w:ilvl w:val="0"/>
          <w:numId w:val="2"/>
        </w:numPr>
      </w:pPr>
      <w:r>
        <w:t xml:space="preserve">De vervaldatum van de opschortende voorwaarde niet registreren</w:t>
      </w:r>
    </w:p>
    <w:p>
      <w:pPr>
        <w:pStyle w:val="ListParagraph"/>
        <w:numPr>
          <w:ilvl w:val="0"/>
          <w:numId w:val="2"/>
        </w:numPr>
      </w:pPr>
      <w:r>
        <w:t xml:space="preserve">Een rentevoet uit een simulatie communiceren alsof die definitief is</w:t>
      </w:r>
    </w:p>
    <w:p>
      <w:pPr>
        <w:pStyle w:val="ListParagraph"/>
        <w:numPr>
          <w:ilvl w:val="0"/>
          <w:numId w:val="2"/>
        </w:numPr>
      </w:pPr>
      <w:r>
        <w:t xml:space="preserve">De klant niet op de hoogte houden wanneer er niets verandert: ook "nog geen nieuws" is een update</w:t>
      </w:r>
    </w:p>
    <w:p>
      <w:pPr>
        <w:pStyle w:val="ListParagraph"/>
        <w:numPr>
          <w:ilvl w:val="0"/>
          <w:numId w:val="2"/>
        </w:numPr>
      </w:pPr>
      <w:r>
        <w:t xml:space="preserve">Het kredietaanbod laten vervallen omdat er geen afspraak voor ondertekening gepland werd</w:t>
      </w:r>
    </w:p>
    <w:sectPr>
      <w:head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Workshop AI Practical Prompting · Oefenbestand · Alle gegevens zijn fictief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b/>
      <w:bCs/>
      <w:color w:val="A6192E"/>
      <w:sz w:val="36"/>
      <w:szCs w:val="36"/>
    </w:rPr>
  </w:style>
  <w:style w:type="paragraph" w:styleId="Heading1">
    <w:name w:val="Heading 1"/>
    <w:basedOn w:val="Normal"/>
    <w:next w:val="Normal"/>
    <w:qFormat/>
    <w:pPr>
      <w:spacing w:after="120" w:before="280"/>
      <w:outlineLvl w:val="0"/>
    </w:pPr>
    <w:rPr>
      <w:b/>
      <w:bCs/>
      <w:color w:val="A6192E"/>
      <w:sz w:val="28"/>
      <w:szCs w:val="28"/>
    </w:rPr>
  </w:style>
  <w:style w:type="paragraph" w:styleId="Heading2">
    <w:name w:val="Heading 2"/>
    <w:basedOn w:val="Normal"/>
    <w:next w:val="Normal"/>
    <w:qFormat/>
    <w:pPr>
      <w:spacing w:after="80" w:before="200"/>
      <w:outlineLvl w:val="1"/>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2026-09-22T05:23:07.964Z</dcterms:created>
  <dcterms:modified xsi:type="dcterms:W3CDTF">2026-09-22T05:23:07.964Z</dcterms:modified>
</cp:coreProperties>
</file>

<file path=docProps/custom.xml><?xml version="1.0" encoding="utf-8"?>
<Properties xmlns="http://schemas.openxmlformats.org/officeDocument/2006/custom-properties" xmlns:vt="http://schemas.openxmlformats.org/officeDocument/2006/docPropsVTypes"/>
</file>